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060" w:type="dxa"/>
        <w:tblLook w:val="01E0" w:firstRow="1" w:lastRow="1" w:firstColumn="1" w:lastColumn="1" w:noHBand="0" w:noVBand="0"/>
      </w:tblPr>
      <w:tblGrid>
        <w:gridCol w:w="9570"/>
        <w:gridCol w:w="20490"/>
      </w:tblGrid>
      <w:tr w:rsidR="00480B43" w:rsidRPr="00480B43" w:rsidTr="004B1371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4B1371">
        <w:tc>
          <w:tcPr>
            <w:tcW w:w="30060" w:type="dxa"/>
            <w:gridSpan w:val="2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FF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4B1371">
        <w:tc>
          <w:tcPr>
            <w:tcW w:w="30060" w:type="dxa"/>
            <w:gridSpan w:val="2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1371" w:rsidRPr="004B1371" w:rsidTr="004B1371">
        <w:trPr>
          <w:gridAfter w:val="1"/>
          <w:wAfter w:w="20490" w:type="dxa"/>
        </w:trPr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4B1371" w:rsidRPr="004B1371" w:rsidTr="005856A0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4B1371" w:rsidRPr="004B1371" w:rsidRDefault="004B1371" w:rsidP="004B1371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КОНТРОЛЬНО-СЧЕТНЫЙ  ОРГАН БОЛЬШЕУЛУЙСКОГО  РАЙОНА</w:t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КРАСНОЯРСКОГО КРАЯ</w:t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1371" w:rsidRPr="004B1371" w:rsidRDefault="004B1371" w:rsidP="004B137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.: 8 (39159) 2-14-91</w:t>
            </w:r>
          </w:p>
        </w:tc>
      </w:tr>
    </w:tbl>
    <w:p w:rsidR="004B1371" w:rsidRPr="004B1371" w:rsidRDefault="004B1371" w:rsidP="004B1371">
      <w:pPr>
        <w:tabs>
          <w:tab w:val="left" w:pos="0"/>
        </w:tabs>
        <w:spacing w:after="0" w:line="240" w:lineRule="auto"/>
        <w:ind w:right="-1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образования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E9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9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решением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13.07.2013 № 270-п (далее</w:t>
      </w:r>
      <w:proofErr w:type="gram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№ 270-п), проведена финансово-экономическая экспертиза проекта муниципальной программы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2022–202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программы).</w:t>
      </w:r>
      <w:proofErr w:type="gramEnd"/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13 по 15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F60C59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муниципальной программы предоставлен в Контрольно-счетный орган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ответственным исполнителем муниципальной программы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F5B12" w:rsidRPr="00FF5B12" w:rsidRDefault="00F60C59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программы представлены пояснительная записка и финансово-экономическое обоснование, расшифровки к сметам расходов на 2025 год по Отделу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его подведомственным учреждениям. </w:t>
      </w:r>
      <w:r w:rsidR="00FF5B12"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с подпрограммами включена и соответствует перечню муниципальных программ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распоряжением Администрации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установлено следующее.</w:t>
      </w:r>
    </w:p>
    <w:p w:rsidR="00FF5B12" w:rsidRDefault="00FF5B12" w:rsidP="00FE3C6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1E74A6" w:rsidRPr="001E74A6" w:rsidRDefault="001E74A6" w:rsidP="001E74A6">
      <w:pPr>
        <w:pStyle w:val="aa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>Изменения в Проект обусловлены:</w:t>
      </w:r>
    </w:p>
    <w:p w:rsidR="001E74A6" w:rsidRPr="001E74A6" w:rsidRDefault="001E74A6" w:rsidP="001E7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приведением Проекта программы (2024 год) в соответствии с Решением </w:t>
      </w:r>
      <w:proofErr w:type="spellStart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05.07.2024 № 167 «О внесении изменений и дополнений в Решение </w:t>
      </w:r>
      <w:proofErr w:type="spellStart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годов»;</w:t>
      </w:r>
    </w:p>
    <w:p w:rsidR="001E74A6" w:rsidRPr="00FE3C6D" w:rsidRDefault="001E74A6" w:rsidP="001E74A6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подготовкой проекта бюджета </w:t>
      </w:r>
      <w:proofErr w:type="spellStart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1E74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2025 год и плановый период 2026 – 2027 годов (скорректированы объемы финансирования Проекта программы на 2025 – 2026 годы и добавлен 2027 год).</w:t>
      </w:r>
    </w:p>
    <w:p w:rsidR="00FE3C6D" w:rsidRPr="00FE3C6D" w:rsidRDefault="00FE3C6D" w:rsidP="00FE3C6D">
      <w:pPr>
        <w:pStyle w:val="aa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Проекта программы не изменились. </w:t>
      </w:r>
    </w:p>
    <w:p w:rsidR="00FE3C6D" w:rsidRPr="00FE3C6D" w:rsidRDefault="00FE3C6D" w:rsidP="00FE3C6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муниципальной программы «Развитие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в части средств бюджета соответствует Решению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05.07.2024 года № 167 «О внесении изменений и дополнений в Решение </w:t>
      </w:r>
      <w:proofErr w:type="spellStart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12.12.2023 № 133 «О бюджете муниципального района на 2024 год и плановый период 2025 - 2026 годов»».</w:t>
      </w:r>
    </w:p>
    <w:p w:rsidR="00DF2981" w:rsidRPr="00DF2981" w:rsidRDefault="00FF5B12" w:rsidP="00DF2981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98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Проекта программы изменился, при этом целевые индикаторы не изменены. </w:t>
      </w:r>
    </w:p>
    <w:p w:rsidR="00FF5B12" w:rsidRPr="00DF2981" w:rsidRDefault="00FF5B12" w:rsidP="00DF298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9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2022-202</w:t>
      </w:r>
      <w:r w:rsidR="00DF29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29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в разрезе средств бюджета распределен следующим образом:</w:t>
      </w:r>
    </w:p>
    <w:p w:rsidR="00FF5B12" w:rsidRPr="00FF5B12" w:rsidRDefault="00C73472" w:rsidP="00A5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72">
        <w:rPr>
          <w:noProof/>
          <w:lang w:eastAsia="ru-RU"/>
        </w:rPr>
        <w:drawing>
          <wp:inline distT="0" distB="0" distL="0" distR="0" wp14:anchorId="75033610" wp14:editId="173DFD93">
            <wp:extent cx="6120130" cy="2960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A6" w:rsidRDefault="00B609A6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подпрограмм Проекта программы объем финансирования увеличился за счет </w:t>
      </w:r>
      <w:r w:rsidR="000933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Проек</w:t>
      </w:r>
      <w:r w:rsidR="00093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программы на период 2022-2027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увеличился на </w:t>
      </w:r>
      <w:r w:rsidR="00093307">
        <w:rPr>
          <w:rFonts w:ascii="Times New Roman" w:eastAsia="Times New Roman" w:hAnsi="Times New Roman" w:cs="Times New Roman"/>
          <w:sz w:val="28"/>
          <w:szCs w:val="28"/>
          <w:lang w:eastAsia="ru-RU"/>
        </w:rPr>
        <w:t>485 990,0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93307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 </w:t>
      </w:r>
      <w:r w:rsidR="00093307">
        <w:rPr>
          <w:rFonts w:ascii="Times New Roman" w:eastAsia="Times New Roman" w:hAnsi="Times New Roman" w:cs="Times New Roman"/>
          <w:sz w:val="28"/>
          <w:szCs w:val="28"/>
          <w:lang w:eastAsia="ru-RU"/>
        </w:rPr>
        <w:t>2 180 983,5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65EBA" w:rsidRDefault="007863AC" w:rsidP="007863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 1.1.11 и 1.1.12</w:t>
      </w:r>
      <w:r w:rsidRPr="00786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863AC">
        <w:rPr>
          <w:rFonts w:ascii="Times New Roman" w:hAnsi="Times New Roman" w:cs="Times New Roman"/>
          <w:sz w:val="28"/>
          <w:szCs w:val="28"/>
        </w:rPr>
        <w:t>«</w:t>
      </w:r>
      <w:r w:rsidRPr="007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направленных на развитие инфраструктуры общеобразовательных </w:t>
      </w:r>
      <w:r w:rsidRPr="00786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организаций»</w:t>
      </w:r>
      <w:r w:rsidRPr="00786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1 «Развитие дошкольного, общего и дополнительного образования детей» объем финансирования перенесен на новые мероприятия 1.1.13 и 1.1.14 </w:t>
      </w:r>
      <w:r w:rsidRPr="007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«Финансовое обеспечение мероприятий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КБК (соответствует Решению от 05.07.2024 № 167)</w:t>
      </w:r>
      <w:r w:rsidR="00D6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48E1" w:rsidRDefault="00D65EBA" w:rsidP="00D65EBA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эту же подпрограмму добавлены новые мероприятия 1.2.3</w:t>
      </w:r>
      <w:r w:rsidRPr="00D65E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A4B6C">
        <w:rPr>
          <w:rFonts w:ascii="Times New Roman" w:eastAsia="Times New Roman" w:hAnsi="Times New Roman"/>
          <w:sz w:val="28"/>
          <w:szCs w:val="28"/>
        </w:rPr>
        <w:t>Финансовое обеспечение на увеличение размеров оплаты труда отдельным категориям работникам бюджетной сферы  Красноярского края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1.2.29</w:t>
      </w:r>
      <w:r w:rsidRPr="00D65E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01631">
        <w:rPr>
          <w:rFonts w:ascii="Times New Roman" w:eastAsia="Times New Roman" w:hAnsi="Times New Roman"/>
          <w:sz w:val="28"/>
          <w:szCs w:val="28"/>
        </w:rPr>
        <w:t>Финансовое обеспечение мероприятий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краевого бюджета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1.2.30 «</w:t>
      </w:r>
      <w:r w:rsidRPr="00F01631">
        <w:rPr>
          <w:rFonts w:ascii="Times New Roman" w:eastAsia="Times New Roman" w:hAnsi="Times New Roman"/>
          <w:sz w:val="28"/>
          <w:szCs w:val="28"/>
        </w:rPr>
        <w:t>Финансовое обеспечение</w:t>
      </w:r>
      <w:proofErr w:type="gramEnd"/>
      <w:r w:rsidRPr="00F016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01631">
        <w:rPr>
          <w:rFonts w:ascii="Times New Roman" w:eastAsia="Times New Roman" w:hAnsi="Times New Roman"/>
          <w:sz w:val="28"/>
          <w:szCs w:val="28"/>
        </w:rPr>
        <w:t>мероприятий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1.2.31 «</w:t>
      </w:r>
      <w:r w:rsidRPr="00F01631">
        <w:rPr>
          <w:rFonts w:ascii="Times New Roman" w:eastAsia="Times New Roman" w:hAnsi="Times New Roman"/>
          <w:sz w:val="28"/>
          <w:szCs w:val="28"/>
        </w:rPr>
        <w:t xml:space="preserve">Финансовое обеспечение на </w:t>
      </w:r>
      <w:proofErr w:type="spellStart"/>
      <w:r w:rsidRPr="00F01631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F01631">
        <w:rPr>
          <w:rFonts w:ascii="Times New Roman" w:eastAsia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F01631">
        <w:rPr>
          <w:rFonts w:ascii="Times New Roman" w:eastAsia="Times New Roman" w:hAnsi="Times New Roman"/>
          <w:sz w:val="28"/>
          <w:szCs w:val="28"/>
        </w:rPr>
        <w:t xml:space="preserve"> краевого бюджета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1.2.32</w:t>
      </w:r>
      <w:r w:rsidRPr="00D65E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01631">
        <w:rPr>
          <w:rFonts w:ascii="Times New Roman" w:eastAsia="Times New Roman" w:hAnsi="Times New Roman"/>
          <w:sz w:val="28"/>
          <w:szCs w:val="28"/>
        </w:rPr>
        <w:t>Финансовое обеспечение</w:t>
      </w:r>
      <w:proofErr w:type="gramEnd"/>
      <w:r w:rsidRPr="00F01631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F01631">
        <w:rPr>
          <w:rFonts w:ascii="Times New Roman" w:eastAsia="Times New Roman" w:hAnsi="Times New Roman"/>
          <w:sz w:val="28"/>
          <w:szCs w:val="28"/>
        </w:rPr>
        <w:t>софинансировани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 w:rsidRPr="00F01631">
        <w:rPr>
          <w:rFonts w:ascii="Times New Roman" w:eastAsia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F01631">
        <w:rPr>
          <w:rFonts w:ascii="Times New Roman" w:eastAsia="Times New Roman" w:hAnsi="Times New Roman"/>
          <w:sz w:val="28"/>
          <w:szCs w:val="28"/>
        </w:rPr>
        <w:t xml:space="preserve"> районного бюджета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B5BCA" w:rsidRPr="001B5BCA" w:rsidRDefault="001B5BCA" w:rsidP="001B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</w:t>
      </w:r>
      <w:r w:rsidRPr="001B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 w:rsidRPr="001B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расшифровками смет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по Отделу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его подведомственным учреждениям.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CA" w:rsidRDefault="001B5BCA" w:rsidP="001B5BCA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BCA">
        <w:rPr>
          <w:rFonts w:ascii="Times New Roman" w:eastAsia="Times New Roman" w:hAnsi="Times New Roman"/>
          <w:sz w:val="28"/>
          <w:szCs w:val="28"/>
          <w:lang w:eastAsia="ru-RU"/>
        </w:rPr>
        <w:t>Выявлены арифметические ошибки в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1B5BC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40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B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BC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подпрограммам № 1 и № 4</w:t>
      </w:r>
      <w:r w:rsidRPr="001B5BCA">
        <w:rPr>
          <w:rFonts w:ascii="Times New Roman" w:eastAsia="Times New Roman" w:hAnsi="Times New Roman"/>
          <w:sz w:val="28"/>
          <w:szCs w:val="28"/>
          <w:lang w:eastAsia="ru-RU"/>
        </w:rPr>
        <w:t>, которые устранены ответственным исполнителем муниципальной программы во время экспертизы Проекта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B12" w:rsidRPr="003776EF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</w:t>
      </w:r>
      <w:r w:rsid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размещена на официальном сайте </w:t>
      </w:r>
      <w:proofErr w:type="spellStart"/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proofErr w:type="gramStart"/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="00D01BE1">
        <w:fldChar w:fldCharType="begin"/>
      </w:r>
      <w:r w:rsidR="00D01BE1">
        <w:instrText xml:space="preserve"> HYPERLINK "https://adm-buluy.gosuslugi.ru/" </w:instrText>
      </w:r>
      <w:r w:rsidR="00D01BE1">
        <w:fldChar w:fldCharType="separate"/>
      </w:r>
      <w:r w:rsidRPr="003776E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https://adm-buluy.gosuslugi.ru/</w:t>
      </w:r>
      <w:r w:rsidR="00D01BE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«Деятельность», «Экономика», «Муниципальные программы».</w:t>
      </w:r>
    </w:p>
    <w:p w:rsidR="005E0796" w:rsidRDefault="005E0796" w:rsidP="005E07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нарушение требований ст. 12 Федерального закона от 28.06.2014 N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F64269" w:rsidRPr="005E0796" w:rsidRDefault="00F64269" w:rsidP="005E07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E0796" w:rsidRDefault="005E0796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по результатам проведенной экспертизы:</w:t>
      </w:r>
    </w:p>
    <w:p w:rsidR="00F64269" w:rsidRDefault="00F64269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4D" w:rsidRPr="005E0796" w:rsidRDefault="00450F4D" w:rsidP="00450F4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муниципальной программы на 2022-2027 годы, соответствуют Решению </w:t>
      </w:r>
      <w:proofErr w:type="spellStart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05.07.2024 № 167 </w:t>
      </w:r>
      <w:r w:rsidRPr="005E079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</w:t>
      </w:r>
      <w:r w:rsidRPr="005E079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в Решение </w:t>
      </w:r>
      <w:proofErr w:type="spellStart"/>
      <w:r w:rsidRPr="005E079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5E079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Совета депутатов от 12  </w:t>
      </w:r>
      <w:r w:rsidRPr="005E079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декабря 2023 года   № 133</w:t>
      </w:r>
      <w:r w:rsidRPr="005E079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«О бюджете муниципального района на 2024 год и плановый период  2025 - 2026 годов» и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отраженной в пояснительной записке к проекту Программы</w:t>
      </w:r>
      <w:r w:rsidR="0056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расшифровках смет расходов на 2025</w:t>
      </w:r>
      <w:proofErr w:type="gramEnd"/>
      <w:r w:rsidR="0056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F4D" w:rsidRPr="005E0796" w:rsidRDefault="00450F4D" w:rsidP="00450F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</w:t>
      </w:r>
      <w:r w:rsidRPr="005E07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</w:t>
      </w:r>
      <w:r w:rsidRPr="005E07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«Развитие  </w:t>
      </w:r>
      <w:r w:rsidR="00982DB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образования </w:t>
      </w:r>
      <w:bookmarkStart w:id="0" w:name="_GoBack"/>
      <w:bookmarkEnd w:id="0"/>
      <w:proofErr w:type="spellStart"/>
      <w:r w:rsidRPr="005E07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5E079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района»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для отклонения проекта постановления не установлено.</w:t>
      </w:r>
    </w:p>
    <w:p w:rsidR="005E0796" w:rsidRPr="005E0796" w:rsidRDefault="005E0796" w:rsidP="005E079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5E0796" w:rsidRPr="005E0796" w:rsidRDefault="005E0796" w:rsidP="005E07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5131"/>
      </w:tblGrid>
      <w:tr w:rsidR="005E0796" w:rsidRPr="005E0796" w:rsidTr="0063334D">
        <w:tc>
          <w:tcPr>
            <w:tcW w:w="4785" w:type="dxa"/>
            <w:shd w:val="clear" w:color="auto" w:fill="auto"/>
          </w:tcPr>
          <w:p w:rsidR="002A4C86" w:rsidRDefault="002A4C8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C86" w:rsidRDefault="002A4C8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E0796" w:rsidRPr="005E0796" w:rsidRDefault="005E0796" w:rsidP="005E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796" w:rsidRPr="005E0796" w:rsidRDefault="005E0796" w:rsidP="005E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E0796" w:rsidRPr="005E0796" w:rsidRDefault="005E0796" w:rsidP="005E0796">
            <w:pPr>
              <w:spacing w:after="0" w:line="240" w:lineRule="auto"/>
              <w:ind w:right="-5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И.Н. Кравцова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10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9C" w:rsidRDefault="0092479C">
      <w:pPr>
        <w:spacing w:after="0" w:line="240" w:lineRule="auto"/>
      </w:pPr>
      <w:r>
        <w:separator/>
      </w:r>
    </w:p>
  </w:endnote>
  <w:endnote w:type="continuationSeparator" w:id="0">
    <w:p w:rsidR="0092479C" w:rsidRDefault="0092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9C" w:rsidRDefault="0092479C">
      <w:pPr>
        <w:spacing w:after="0" w:line="240" w:lineRule="auto"/>
      </w:pPr>
      <w:r>
        <w:separator/>
      </w:r>
    </w:p>
  </w:footnote>
  <w:footnote w:type="continuationSeparator" w:id="0">
    <w:p w:rsidR="0092479C" w:rsidRDefault="0092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BC">
          <w:rPr>
            <w:noProof/>
          </w:rPr>
          <w:t>4</w:t>
        </w:r>
        <w:r>
          <w:fldChar w:fldCharType="end"/>
        </w:r>
      </w:p>
    </w:sdtContent>
  </w:sdt>
  <w:p w:rsidR="0046259F" w:rsidRDefault="00924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DD"/>
    <w:multiLevelType w:val="hybridMultilevel"/>
    <w:tmpl w:val="ECC62336"/>
    <w:lvl w:ilvl="0" w:tplc="1BA025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3063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27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259F6"/>
    <w:rsid w:val="0006612C"/>
    <w:rsid w:val="00093307"/>
    <w:rsid w:val="000C04F2"/>
    <w:rsid w:val="000C7B5E"/>
    <w:rsid w:val="000D47F9"/>
    <w:rsid w:val="000E2E9F"/>
    <w:rsid w:val="00124C3B"/>
    <w:rsid w:val="0013216E"/>
    <w:rsid w:val="001340CD"/>
    <w:rsid w:val="00142894"/>
    <w:rsid w:val="0014573E"/>
    <w:rsid w:val="00155288"/>
    <w:rsid w:val="00157F42"/>
    <w:rsid w:val="00190A88"/>
    <w:rsid w:val="001A1A70"/>
    <w:rsid w:val="001B5BCA"/>
    <w:rsid w:val="001C257E"/>
    <w:rsid w:val="001C2798"/>
    <w:rsid w:val="001D6E56"/>
    <w:rsid w:val="001E2ABD"/>
    <w:rsid w:val="001E74A6"/>
    <w:rsid w:val="001F3075"/>
    <w:rsid w:val="001F72A6"/>
    <w:rsid w:val="002056F7"/>
    <w:rsid w:val="00295B88"/>
    <w:rsid w:val="002A4C86"/>
    <w:rsid w:val="002E3A3D"/>
    <w:rsid w:val="00357A41"/>
    <w:rsid w:val="003776EF"/>
    <w:rsid w:val="003B03AA"/>
    <w:rsid w:val="003F5BAA"/>
    <w:rsid w:val="00401A0E"/>
    <w:rsid w:val="004147F3"/>
    <w:rsid w:val="004274CE"/>
    <w:rsid w:val="00440425"/>
    <w:rsid w:val="00450F4D"/>
    <w:rsid w:val="004549F1"/>
    <w:rsid w:val="004652AA"/>
    <w:rsid w:val="004713C8"/>
    <w:rsid w:val="004720DD"/>
    <w:rsid w:val="00480B43"/>
    <w:rsid w:val="004B1371"/>
    <w:rsid w:val="004C0B2B"/>
    <w:rsid w:val="004E1FC3"/>
    <w:rsid w:val="004F114E"/>
    <w:rsid w:val="0051458E"/>
    <w:rsid w:val="00563B2C"/>
    <w:rsid w:val="005716A7"/>
    <w:rsid w:val="005B3FEA"/>
    <w:rsid w:val="005B6342"/>
    <w:rsid w:val="005B7A79"/>
    <w:rsid w:val="005D4109"/>
    <w:rsid w:val="005E0796"/>
    <w:rsid w:val="005F62BE"/>
    <w:rsid w:val="006043A3"/>
    <w:rsid w:val="006506AA"/>
    <w:rsid w:val="006609C0"/>
    <w:rsid w:val="00672C5A"/>
    <w:rsid w:val="00680CEA"/>
    <w:rsid w:val="006B0BCA"/>
    <w:rsid w:val="006E3F7C"/>
    <w:rsid w:val="0071655B"/>
    <w:rsid w:val="00733834"/>
    <w:rsid w:val="00766484"/>
    <w:rsid w:val="0077040C"/>
    <w:rsid w:val="007863AC"/>
    <w:rsid w:val="00796B97"/>
    <w:rsid w:val="00797FE1"/>
    <w:rsid w:val="007A6E7B"/>
    <w:rsid w:val="007B2087"/>
    <w:rsid w:val="007C71B8"/>
    <w:rsid w:val="007C7936"/>
    <w:rsid w:val="008249D7"/>
    <w:rsid w:val="008348E1"/>
    <w:rsid w:val="00881E69"/>
    <w:rsid w:val="008D6462"/>
    <w:rsid w:val="008E3113"/>
    <w:rsid w:val="008E530D"/>
    <w:rsid w:val="008F057F"/>
    <w:rsid w:val="008F1706"/>
    <w:rsid w:val="00913F68"/>
    <w:rsid w:val="0092479C"/>
    <w:rsid w:val="00956E42"/>
    <w:rsid w:val="00966007"/>
    <w:rsid w:val="00980CC2"/>
    <w:rsid w:val="00982DBC"/>
    <w:rsid w:val="009A485A"/>
    <w:rsid w:val="00A03B98"/>
    <w:rsid w:val="00A040E1"/>
    <w:rsid w:val="00A11F75"/>
    <w:rsid w:val="00A348D3"/>
    <w:rsid w:val="00A5108D"/>
    <w:rsid w:val="00A651A0"/>
    <w:rsid w:val="00A83849"/>
    <w:rsid w:val="00A8405A"/>
    <w:rsid w:val="00AA0BD6"/>
    <w:rsid w:val="00AB6F53"/>
    <w:rsid w:val="00AE0841"/>
    <w:rsid w:val="00AE2D06"/>
    <w:rsid w:val="00B2691D"/>
    <w:rsid w:val="00B507EB"/>
    <w:rsid w:val="00B541D7"/>
    <w:rsid w:val="00B609A6"/>
    <w:rsid w:val="00B678C6"/>
    <w:rsid w:val="00B71B57"/>
    <w:rsid w:val="00B84898"/>
    <w:rsid w:val="00B858F1"/>
    <w:rsid w:val="00BA0221"/>
    <w:rsid w:val="00BD1495"/>
    <w:rsid w:val="00BE1392"/>
    <w:rsid w:val="00BE4E9D"/>
    <w:rsid w:val="00C23608"/>
    <w:rsid w:val="00C25E81"/>
    <w:rsid w:val="00C4033D"/>
    <w:rsid w:val="00C41B67"/>
    <w:rsid w:val="00C52430"/>
    <w:rsid w:val="00C545A3"/>
    <w:rsid w:val="00C73472"/>
    <w:rsid w:val="00C834F1"/>
    <w:rsid w:val="00CA2836"/>
    <w:rsid w:val="00D01BE1"/>
    <w:rsid w:val="00D21B27"/>
    <w:rsid w:val="00D370A0"/>
    <w:rsid w:val="00D606C6"/>
    <w:rsid w:val="00D65EBA"/>
    <w:rsid w:val="00D76969"/>
    <w:rsid w:val="00D80AD9"/>
    <w:rsid w:val="00DD0F16"/>
    <w:rsid w:val="00DF2981"/>
    <w:rsid w:val="00DF5B84"/>
    <w:rsid w:val="00E10D39"/>
    <w:rsid w:val="00E271B2"/>
    <w:rsid w:val="00E623A5"/>
    <w:rsid w:val="00E8367F"/>
    <w:rsid w:val="00E96E85"/>
    <w:rsid w:val="00EE1E12"/>
    <w:rsid w:val="00EF0053"/>
    <w:rsid w:val="00EF3268"/>
    <w:rsid w:val="00F03ECF"/>
    <w:rsid w:val="00F116C2"/>
    <w:rsid w:val="00F537C7"/>
    <w:rsid w:val="00F60C59"/>
    <w:rsid w:val="00F64269"/>
    <w:rsid w:val="00F801E9"/>
    <w:rsid w:val="00FA5B8B"/>
    <w:rsid w:val="00FC1C73"/>
    <w:rsid w:val="00FE3C6D"/>
    <w:rsid w:val="00FE60C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  <w:style w:type="paragraph" w:styleId="ad">
    <w:name w:val="No Spacing"/>
    <w:uiPriority w:val="1"/>
    <w:qFormat/>
    <w:rsid w:val="00D65E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1B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  <w:style w:type="paragraph" w:styleId="ad">
    <w:name w:val="No Spacing"/>
    <w:uiPriority w:val="1"/>
    <w:qFormat/>
    <w:rsid w:val="00D65E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1B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56</cp:revision>
  <cp:lastPrinted>2024-06-04T02:29:00Z</cp:lastPrinted>
  <dcterms:created xsi:type="dcterms:W3CDTF">2021-12-14T03:24:00Z</dcterms:created>
  <dcterms:modified xsi:type="dcterms:W3CDTF">2024-08-14T07:47:00Z</dcterms:modified>
</cp:coreProperties>
</file>