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Контрольно- счетного органа </w:t>
            </w:r>
            <w:proofErr w:type="spellStart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7058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5B2F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</w:t>
      </w:r>
      <w:r w:rsidR="005B2F2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дополнительной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2-2026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70582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29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ма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1C20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34</w:t>
      </w:r>
      <w:bookmarkStart w:id="0" w:name="_GoBack"/>
      <w:bookmarkEnd w:id="0"/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органе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(далее – СФК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D1A23" w:rsidRPr="000D1A23" w:rsidRDefault="00705821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я 202</w:t>
      </w:r>
      <w:r w:rsid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изменений муниципальной программы предоставлен в Контрольно-счетный орган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ответственным исполнителем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Финансово-экономическим управлением администрации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 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включена и соответствует перечню муниципальных программ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2024 год, утвержденный распоряжением Администрации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(с изменениями).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установлено следующее.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 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Изменения в Проект обусловлены: приведением Проекта программы (в 2024 год) в соответствии с Решением сессии районного Совета депутатов от 02.05.2024 № 151 О внесении изменений и дополнений 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12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 2023 года   № 133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2024 год и плановый период 2025 - 2026 годов»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3. Общий объем финансирования Проекта программы изменился, при этом целевые индикаторы не изменены. Объем финансирования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«Управление муниципальными финансами» в части средств бюджета соответствует Решению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02.05.2024 года № 151 «О внесении изменений и дополнений в Решение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12.12.2023 № 133 «О бюджете муниципального района на 2024 год и плановый период 2025 - 2026 годов»».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2022-2026 годы в разрезе средств бюджета распределен следующим образом:</w:t>
      </w:r>
    </w:p>
    <w:p w:rsidR="005B2F26" w:rsidRPr="005B2F26" w:rsidRDefault="005B2F26" w:rsidP="005B2F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drawing>
          <wp:inline distT="0" distB="0" distL="0" distR="0">
            <wp:extent cx="6120130" cy="279434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26" w:rsidRPr="00187E54" w:rsidRDefault="005B2F26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разрезе подпрограмм и мероприятий Проекта программы объем финансирования увеличился за счет средств районн</w:t>
      </w:r>
      <w:r w:rsidR="00187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бюджета по Подпрограмме </w:t>
      </w:r>
      <w:r w:rsidR="00187E54" w:rsidRPr="00187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повышение устойчивости бюджетов поселений </w:t>
      </w:r>
      <w:proofErr w:type="spellStart"/>
      <w:r w:rsidR="00187E54" w:rsidRPr="00187E54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187E54" w:rsidRPr="00187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</w:t>
      </w:r>
      <w:r w:rsidR="00187E5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 на период 2022-2026 годы увеличился на 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99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0,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537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722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увеличения расходов в 2024 году в материалах к Проекту представлены в Пояснительной записке.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 в Подпрограмму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оселений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внесены изменения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E73EA" w:rsidRDefault="005E73EA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мероприятию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5E73EA">
        <w:rPr>
          <w:rFonts w:ascii="Times New Roman" w:eastAsia="Times New Roman" w:hAnsi="Times New Roman" w:cs="Times New Roman"/>
          <w:color w:val="auto"/>
          <w:sz w:val="28"/>
          <w:szCs w:val="28"/>
        </w:rPr>
        <w:t>Дотации на выравнивание уровня бюджетной обеспеченности поселений района за счёт средств районного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увеличен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549,7 тыс. рублей;</w:t>
      </w:r>
    </w:p>
    <w:p w:rsidR="005B2F26" w:rsidRPr="005B2F26" w:rsidRDefault="005E73EA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добавлено новое мероприятие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Иные межбюджетные трансферты бюджетам муниципальных образований района на выравнивание обеспеченности муниципальных образований </w:t>
      </w:r>
      <w:proofErr w:type="spellStart"/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по реализации ими отдельных расходных обязательств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ED12E3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районного бюджета 350,0 тыс. рублей.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В нарушении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«Развитие культуры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района», не размещена на официальном сайте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( </w:t>
      </w:r>
      <w:hyperlink r:id="rId8" w:history="1">
        <w:r w:rsidRPr="005B2F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https://adm-buluy.gosuslugi.ru/</w:t>
        </w:r>
      </w:hyperlink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финансово-экономической экспертизы на проект муниципальной программы «</w:t>
      </w:r>
      <w:r w:rsidR="00705821" w:rsidRPr="00705821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муниципальными финансами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Контрольно-счетный орган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предлагает ответственному исполнителю проекта Программы учесть следующие замечания и предложения.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705821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Руководствоваться статьей 13 Федерального закона от 09.02.2009 № 8-ФЗ) «Об обеспечении доступа к информации о деятельности государственных органов и органов местного самоуправления».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B2F26" w:rsidRPr="005B2F26" w:rsidRDefault="00705821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 Учесть недостатки, выявленные по результатам экспертизы Проекта.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Default="005A008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1A6" w:rsidRPr="00FD01A6" w:rsidRDefault="00FD01A6" w:rsidP="00FD01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65" w:rsidRDefault="00EC1B65">
      <w:r>
        <w:separator/>
      </w:r>
    </w:p>
  </w:endnote>
  <w:endnote w:type="continuationSeparator" w:id="0">
    <w:p w:rsidR="00EC1B65" w:rsidRDefault="00EC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65" w:rsidRDefault="00EC1B65"/>
  </w:footnote>
  <w:footnote w:type="continuationSeparator" w:id="0">
    <w:p w:rsidR="00EC1B65" w:rsidRDefault="00EC1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A6">
          <w:rPr>
            <w:noProof/>
          </w:rPr>
          <w:t>3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5C99"/>
    <w:rsid w:val="000D1A23"/>
    <w:rsid w:val="000D63D8"/>
    <w:rsid w:val="000F00DF"/>
    <w:rsid w:val="000F2C57"/>
    <w:rsid w:val="000F37C4"/>
    <w:rsid w:val="00106E8E"/>
    <w:rsid w:val="00110846"/>
    <w:rsid w:val="00113B94"/>
    <w:rsid w:val="00117EC5"/>
    <w:rsid w:val="00120E8E"/>
    <w:rsid w:val="001323FD"/>
    <w:rsid w:val="00135B75"/>
    <w:rsid w:val="00146F88"/>
    <w:rsid w:val="00187E54"/>
    <w:rsid w:val="0019599B"/>
    <w:rsid w:val="001A673E"/>
    <w:rsid w:val="001B72FD"/>
    <w:rsid w:val="001C20A6"/>
    <w:rsid w:val="00200CEC"/>
    <w:rsid w:val="0020499C"/>
    <w:rsid w:val="0021142F"/>
    <w:rsid w:val="0021633F"/>
    <w:rsid w:val="00237FCB"/>
    <w:rsid w:val="002458FC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6A9F"/>
    <w:rsid w:val="00347731"/>
    <w:rsid w:val="0037057E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47C1E"/>
    <w:rsid w:val="00461C90"/>
    <w:rsid w:val="00463830"/>
    <w:rsid w:val="00477753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44934"/>
    <w:rsid w:val="0056315A"/>
    <w:rsid w:val="00580BA2"/>
    <w:rsid w:val="00583216"/>
    <w:rsid w:val="0058517E"/>
    <w:rsid w:val="00585567"/>
    <w:rsid w:val="005A0081"/>
    <w:rsid w:val="005A18E1"/>
    <w:rsid w:val="005A59B0"/>
    <w:rsid w:val="005A6A8B"/>
    <w:rsid w:val="005B2F26"/>
    <w:rsid w:val="005B3F14"/>
    <w:rsid w:val="005B6392"/>
    <w:rsid w:val="005C43A8"/>
    <w:rsid w:val="005D1A5B"/>
    <w:rsid w:val="005E1CDF"/>
    <w:rsid w:val="005E73EA"/>
    <w:rsid w:val="005F6F55"/>
    <w:rsid w:val="00601063"/>
    <w:rsid w:val="006029D4"/>
    <w:rsid w:val="00604A4F"/>
    <w:rsid w:val="00607A87"/>
    <w:rsid w:val="00611530"/>
    <w:rsid w:val="00625146"/>
    <w:rsid w:val="0063273A"/>
    <w:rsid w:val="00651AB4"/>
    <w:rsid w:val="006622D9"/>
    <w:rsid w:val="00687CCB"/>
    <w:rsid w:val="006966C9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05821"/>
    <w:rsid w:val="007275EB"/>
    <w:rsid w:val="007554FD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1471"/>
    <w:rsid w:val="008222F2"/>
    <w:rsid w:val="00831471"/>
    <w:rsid w:val="008329AA"/>
    <w:rsid w:val="0083682D"/>
    <w:rsid w:val="0084338C"/>
    <w:rsid w:val="00856C33"/>
    <w:rsid w:val="008733A8"/>
    <w:rsid w:val="00880E34"/>
    <w:rsid w:val="0088284D"/>
    <w:rsid w:val="008A423F"/>
    <w:rsid w:val="008A4FC6"/>
    <w:rsid w:val="008A62CC"/>
    <w:rsid w:val="00905FE7"/>
    <w:rsid w:val="00912B17"/>
    <w:rsid w:val="00922480"/>
    <w:rsid w:val="00925034"/>
    <w:rsid w:val="00940573"/>
    <w:rsid w:val="009425BC"/>
    <w:rsid w:val="00942926"/>
    <w:rsid w:val="00967F11"/>
    <w:rsid w:val="00986305"/>
    <w:rsid w:val="009924F6"/>
    <w:rsid w:val="009976C3"/>
    <w:rsid w:val="009C2A9D"/>
    <w:rsid w:val="009D486C"/>
    <w:rsid w:val="009E587F"/>
    <w:rsid w:val="00A0151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C25E0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601D5"/>
    <w:rsid w:val="00C84818"/>
    <w:rsid w:val="00C9342E"/>
    <w:rsid w:val="00C9419E"/>
    <w:rsid w:val="00C96507"/>
    <w:rsid w:val="00CA0B41"/>
    <w:rsid w:val="00CA5397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2AD5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B69D9"/>
    <w:rsid w:val="00EC1B65"/>
    <w:rsid w:val="00EC3568"/>
    <w:rsid w:val="00EC41A4"/>
    <w:rsid w:val="00EC6686"/>
    <w:rsid w:val="00ED12E3"/>
    <w:rsid w:val="00EE7A3F"/>
    <w:rsid w:val="00EF55CF"/>
    <w:rsid w:val="00F16A86"/>
    <w:rsid w:val="00F40C61"/>
    <w:rsid w:val="00F40D1C"/>
    <w:rsid w:val="00F42226"/>
    <w:rsid w:val="00F617F4"/>
    <w:rsid w:val="00F66D7A"/>
    <w:rsid w:val="00F86450"/>
    <w:rsid w:val="00F979C2"/>
    <w:rsid w:val="00FD01A6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0452D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2023-07-11T04:13:00Z</cp:lastPrinted>
  <dcterms:created xsi:type="dcterms:W3CDTF">2020-08-07T02:35:00Z</dcterms:created>
  <dcterms:modified xsi:type="dcterms:W3CDTF">2024-05-29T07:52:00Z</dcterms:modified>
</cp:coreProperties>
</file>