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D1" w:rsidRPr="004311D1" w:rsidRDefault="004311D1" w:rsidP="004311D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32"/>
        </w:rPr>
      </w:pPr>
      <w:r w:rsidRPr="004311D1">
        <w:rPr>
          <w:rFonts w:ascii="Times New Roman" w:eastAsia="Calibri" w:hAnsi="Times New Roman" w:cs="Times New Roman"/>
          <w:bCs/>
          <w:sz w:val="32"/>
        </w:rPr>
        <w:t xml:space="preserve">Администрация </w:t>
      </w:r>
      <w:proofErr w:type="spellStart"/>
      <w:r w:rsidRPr="004311D1">
        <w:rPr>
          <w:rFonts w:ascii="Times New Roman" w:eastAsia="Calibri" w:hAnsi="Times New Roman" w:cs="Times New Roman"/>
          <w:bCs/>
          <w:sz w:val="32"/>
        </w:rPr>
        <w:t>Большеулуйского</w:t>
      </w:r>
      <w:proofErr w:type="spellEnd"/>
      <w:r w:rsidRPr="004311D1">
        <w:rPr>
          <w:rFonts w:ascii="Times New Roman" w:eastAsia="Calibri" w:hAnsi="Times New Roman" w:cs="Times New Roman"/>
          <w:bCs/>
          <w:sz w:val="32"/>
        </w:rPr>
        <w:t xml:space="preserve"> района информирует, что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(собственников) ранее учтенных объектов недвижимости, права на которые возникли и документы на них оформлены до 30.01.1998 года, при этом такие права не были зарегистрированы в Едином государственном реестре недвижимости.</w:t>
      </w:r>
    </w:p>
    <w:p w:rsidR="004311D1" w:rsidRPr="004311D1" w:rsidRDefault="004311D1" w:rsidP="004311D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32"/>
        </w:rPr>
      </w:pPr>
      <w:r w:rsidRPr="004311D1">
        <w:rPr>
          <w:rFonts w:ascii="Times New Roman" w:eastAsia="Calibri" w:hAnsi="Times New Roman" w:cs="Times New Roman"/>
          <w:bCs/>
          <w:sz w:val="32"/>
        </w:rPr>
        <w:t xml:space="preserve">В связи с чем </w:t>
      </w:r>
      <w:r w:rsidR="002B314D">
        <w:rPr>
          <w:rFonts w:ascii="Times New Roman" w:eastAsia="Calibri" w:hAnsi="Times New Roman" w:cs="Times New Roman"/>
          <w:b/>
          <w:bCs/>
          <w:sz w:val="32"/>
          <w:u w:val="single"/>
        </w:rPr>
        <w:t>27.05</w:t>
      </w:r>
      <w:r w:rsidR="00614A2E">
        <w:rPr>
          <w:rFonts w:ascii="Times New Roman" w:eastAsia="Calibri" w:hAnsi="Times New Roman" w:cs="Times New Roman"/>
          <w:b/>
          <w:bCs/>
          <w:sz w:val="32"/>
          <w:u w:val="single"/>
        </w:rPr>
        <w:t xml:space="preserve">.2025 </w:t>
      </w:r>
      <w:r w:rsidRPr="004311D1">
        <w:rPr>
          <w:rFonts w:ascii="Times New Roman" w:eastAsia="Calibri" w:hAnsi="Times New Roman" w:cs="Times New Roman"/>
          <w:b/>
          <w:bCs/>
          <w:sz w:val="32"/>
          <w:u w:val="single"/>
        </w:rPr>
        <w:t xml:space="preserve">года с 10 </w:t>
      </w:r>
      <w:r w:rsidRPr="004311D1">
        <w:rPr>
          <w:rFonts w:ascii="Times New Roman" w:eastAsia="Calibri" w:hAnsi="Times New Roman" w:cs="Times New Roman"/>
          <w:b/>
          <w:bCs/>
          <w:sz w:val="32"/>
          <w:u w:val="single"/>
          <w:vertAlign w:val="superscript"/>
        </w:rPr>
        <w:t xml:space="preserve">00 </w:t>
      </w:r>
      <w:r w:rsidRPr="004311D1">
        <w:rPr>
          <w:rFonts w:ascii="Times New Roman" w:eastAsia="Calibri" w:hAnsi="Times New Roman" w:cs="Times New Roman"/>
          <w:b/>
          <w:bCs/>
          <w:sz w:val="32"/>
          <w:u w:val="single"/>
        </w:rPr>
        <w:t xml:space="preserve">до 12 </w:t>
      </w:r>
      <w:r w:rsidRPr="004311D1">
        <w:rPr>
          <w:rFonts w:ascii="Times New Roman" w:eastAsia="Calibri" w:hAnsi="Times New Roman" w:cs="Times New Roman"/>
          <w:b/>
          <w:bCs/>
          <w:sz w:val="32"/>
          <w:u w:val="single"/>
          <w:vertAlign w:val="superscript"/>
        </w:rPr>
        <w:t>00</w:t>
      </w:r>
      <w:r w:rsidRPr="004311D1">
        <w:rPr>
          <w:rFonts w:ascii="Times New Roman" w:eastAsia="Calibri" w:hAnsi="Times New Roman" w:cs="Times New Roman"/>
          <w:bCs/>
          <w:sz w:val="32"/>
          <w:vertAlign w:val="superscript"/>
        </w:rPr>
        <w:t xml:space="preserve"> </w:t>
      </w:r>
      <w:r w:rsidRPr="004311D1">
        <w:rPr>
          <w:rFonts w:ascii="Times New Roman" w:eastAsia="Calibri" w:hAnsi="Times New Roman" w:cs="Times New Roman"/>
          <w:bCs/>
          <w:sz w:val="32"/>
        </w:rPr>
        <w:t>будет осуществляться осмотр объектов недвижимости расположенных в с. Большой Улуй по следующим адресам:</w:t>
      </w:r>
    </w:p>
    <w:p w:rsidR="002B314D" w:rsidRDefault="002B314D" w:rsidP="00D238B9">
      <w:pPr>
        <w:rPr>
          <w:rFonts w:ascii="Times New Roman" w:hAnsi="Times New Roman" w:cs="Times New Roman"/>
          <w:sz w:val="28"/>
          <w:szCs w:val="28"/>
        </w:rPr>
      </w:pPr>
    </w:p>
    <w:p w:rsidR="002B314D" w:rsidRDefault="002B314D" w:rsidP="00D23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Мелиорации: д.</w:t>
      </w:r>
      <w:r w:rsidR="00685AB9">
        <w:rPr>
          <w:rFonts w:ascii="Times New Roman" w:hAnsi="Times New Roman" w:cs="Times New Roman"/>
          <w:sz w:val="28"/>
          <w:szCs w:val="28"/>
        </w:rPr>
        <w:t xml:space="preserve"> 4 (гараж);</w:t>
      </w:r>
    </w:p>
    <w:p w:rsidR="002B314D" w:rsidRDefault="002B314D" w:rsidP="00D23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Больничная: д. 17а (гараж),</w:t>
      </w:r>
      <w:r w:rsidR="00685AB9">
        <w:rPr>
          <w:rFonts w:ascii="Times New Roman" w:hAnsi="Times New Roman" w:cs="Times New Roman"/>
          <w:sz w:val="28"/>
          <w:szCs w:val="28"/>
        </w:rPr>
        <w:t xml:space="preserve"> д. 29 (гараж);</w:t>
      </w:r>
    </w:p>
    <w:p w:rsidR="002B314D" w:rsidRDefault="002B314D" w:rsidP="00D23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</w:t>
      </w:r>
      <w:r w:rsidR="00685AB9">
        <w:rPr>
          <w:rFonts w:ascii="Times New Roman" w:hAnsi="Times New Roman" w:cs="Times New Roman"/>
          <w:sz w:val="28"/>
          <w:szCs w:val="28"/>
        </w:rPr>
        <w:t>Давыдова: д. 44 (гараж);</w:t>
      </w:r>
    </w:p>
    <w:p w:rsidR="002B314D" w:rsidRDefault="00685AB9" w:rsidP="00D23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Революции: д. 18 (гараж);</w:t>
      </w:r>
      <w:r w:rsidR="002B3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14D" w:rsidRDefault="002B314D" w:rsidP="00D23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Вознесенская: д. 5 (гараж), д. 16 (гараж), д. 18 (гараж), д. 19 (гараж), д. 20 (гараж), д. 21 (гараж), д. 22, </w:t>
      </w:r>
      <w:r w:rsidR="00685AB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гараж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685A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85AB9">
        <w:rPr>
          <w:rFonts w:ascii="Times New Roman" w:hAnsi="Times New Roman" w:cs="Times New Roman"/>
          <w:sz w:val="28"/>
          <w:szCs w:val="28"/>
        </w:rPr>
        <w:t xml:space="preserve">                         д. 23 (гараж);</w:t>
      </w:r>
    </w:p>
    <w:p w:rsidR="002B314D" w:rsidRDefault="002B314D" w:rsidP="00D23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Полевая: д. 6 (гараж), д. 10 (гараж), д. 18 (гараж), д. 32 (гараж)</w:t>
      </w:r>
      <w:r w:rsidR="00685AB9">
        <w:rPr>
          <w:rFonts w:ascii="Times New Roman" w:hAnsi="Times New Roman" w:cs="Times New Roman"/>
          <w:sz w:val="28"/>
          <w:szCs w:val="28"/>
        </w:rPr>
        <w:t>;</w:t>
      </w:r>
    </w:p>
    <w:p w:rsidR="00D238B9" w:rsidRPr="00AC3CBC" w:rsidRDefault="00685AB9" w:rsidP="00D23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Партизанская: д. 20 (гараж), д. 24 (гараж).</w:t>
      </w:r>
      <w:bookmarkStart w:id="0" w:name="_GoBack"/>
      <w:bookmarkEnd w:id="0"/>
    </w:p>
    <w:p w:rsidR="00D238B9" w:rsidRDefault="00D238B9"/>
    <w:sectPr w:rsidR="00D238B9" w:rsidSect="004A39D8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A2"/>
    <w:rsid w:val="0017366C"/>
    <w:rsid w:val="001F46C7"/>
    <w:rsid w:val="002B314D"/>
    <w:rsid w:val="004311D1"/>
    <w:rsid w:val="00614A2E"/>
    <w:rsid w:val="00685AB9"/>
    <w:rsid w:val="00713D19"/>
    <w:rsid w:val="007B3DA2"/>
    <w:rsid w:val="00D238B9"/>
    <w:rsid w:val="00E1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C766"/>
  <w15:chartTrackingRefBased/>
  <w15:docId w15:val="{CA879295-6404-4124-940B-BCAF1900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2025-02-26T08:06:00Z</dcterms:created>
  <dcterms:modified xsi:type="dcterms:W3CDTF">2025-05-19T05:39:00Z</dcterms:modified>
</cp:coreProperties>
</file>