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16" w:rsidRPr="00155A14" w:rsidRDefault="00862216" w:rsidP="0086221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55A14">
        <w:rPr>
          <w:rFonts w:ascii="Arial" w:hAnsi="Arial" w:cs="Arial"/>
          <w:b/>
          <w:sz w:val="24"/>
          <w:szCs w:val="24"/>
          <w:lang w:val="ru-RU"/>
        </w:rPr>
        <w:t>АДМИНИСТРАЦИЯ УДАЧИНСКОГО СЕЛЬСОВЕТА</w:t>
      </w:r>
    </w:p>
    <w:p w:rsidR="00862216" w:rsidRPr="00155A14" w:rsidRDefault="00862216" w:rsidP="0086221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sz w:val="24"/>
          <w:szCs w:val="24"/>
          <w:lang w:val="ru-RU"/>
        </w:rPr>
        <w:t>БОЛЬШЕУЛУЙСКОГО РАЙОНА</w:t>
      </w:r>
      <w:r w:rsidRPr="00155A14">
        <w:rPr>
          <w:rFonts w:ascii="Arial" w:hAnsi="Arial" w:cs="Arial"/>
          <w:b/>
          <w:sz w:val="24"/>
          <w:szCs w:val="24"/>
          <w:lang w:val="ru-RU"/>
        </w:rPr>
        <w:br/>
        <w:t>КРАСНОЯРСКОГО КРАЯ</w:t>
      </w:r>
    </w:p>
    <w:p w:rsidR="00F4205F" w:rsidRPr="00155A14" w:rsidRDefault="00F4205F" w:rsidP="00862216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2216" w:rsidRPr="00155A14" w:rsidRDefault="00862216" w:rsidP="00862216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sz w:val="24"/>
          <w:szCs w:val="24"/>
          <w:lang w:val="ru-RU"/>
        </w:rPr>
        <w:t xml:space="preserve">ПОСТАНОВЛЕНИЕ </w:t>
      </w:r>
      <w:r w:rsidRPr="00155A14">
        <w:rPr>
          <w:rFonts w:ascii="Arial" w:hAnsi="Arial" w:cs="Arial"/>
          <w:sz w:val="24"/>
          <w:szCs w:val="24"/>
          <w:lang w:val="ru-RU"/>
        </w:rPr>
        <w:t xml:space="preserve">                                         </w:t>
      </w:r>
    </w:p>
    <w:p w:rsidR="00862216" w:rsidRPr="00155A14" w:rsidRDefault="00862216" w:rsidP="00862216">
      <w:pPr>
        <w:tabs>
          <w:tab w:val="center" w:pos="4677"/>
        </w:tabs>
        <w:rPr>
          <w:rFonts w:ascii="Arial" w:hAnsi="Arial" w:cs="Arial"/>
          <w:sz w:val="24"/>
          <w:szCs w:val="24"/>
          <w:lang w:val="ru-RU"/>
        </w:rPr>
      </w:pPr>
    </w:p>
    <w:p w:rsidR="00862216" w:rsidRPr="00155A14" w:rsidRDefault="009966FE" w:rsidP="00862216">
      <w:pPr>
        <w:tabs>
          <w:tab w:val="center" w:pos="4677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1</w:t>
      </w:r>
      <w:r w:rsidR="00E75222" w:rsidRPr="00155A14">
        <w:rPr>
          <w:rFonts w:ascii="Arial" w:hAnsi="Arial" w:cs="Arial"/>
          <w:sz w:val="24"/>
          <w:szCs w:val="24"/>
          <w:lang w:val="ru-RU"/>
        </w:rPr>
        <w:t>8.07</w:t>
      </w:r>
      <w:r w:rsidR="00862216" w:rsidRPr="00155A14">
        <w:rPr>
          <w:rFonts w:ascii="Arial" w:hAnsi="Arial" w:cs="Arial"/>
          <w:sz w:val="24"/>
          <w:szCs w:val="24"/>
          <w:lang w:val="ru-RU"/>
        </w:rPr>
        <w:t xml:space="preserve"> .2024                                             с. Удачное                                            № </w:t>
      </w:r>
      <w:r w:rsidR="00E75222" w:rsidRPr="00155A14">
        <w:rPr>
          <w:rFonts w:ascii="Arial" w:hAnsi="Arial" w:cs="Arial"/>
          <w:sz w:val="24"/>
          <w:szCs w:val="24"/>
          <w:lang w:val="ru-RU"/>
        </w:rPr>
        <w:t>17</w:t>
      </w:r>
    </w:p>
    <w:p w:rsidR="009C7EA8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A8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55A14">
        <w:rPr>
          <w:rFonts w:ascii="Arial" w:hAnsi="Arial" w:cs="Arial"/>
          <w:sz w:val="24"/>
          <w:szCs w:val="24"/>
          <w:lang w:val="ru-RU"/>
        </w:rPr>
        <w:t xml:space="preserve"> Об утверждении Порядка ведения реестра</w:t>
      </w:r>
    </w:p>
    <w:p w:rsidR="00862216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55A14">
        <w:rPr>
          <w:rFonts w:ascii="Arial" w:hAnsi="Arial" w:cs="Arial"/>
          <w:sz w:val="24"/>
          <w:szCs w:val="24"/>
          <w:lang w:val="ru-RU"/>
        </w:rPr>
        <w:t xml:space="preserve"> муниципального имущества Удачинского сельсовета</w:t>
      </w:r>
    </w:p>
    <w:p w:rsidR="00A158C9" w:rsidRPr="00155A14" w:rsidRDefault="00A158C9" w:rsidP="00534B8B">
      <w:pPr>
        <w:widowControl/>
        <w:suppressAutoHyphens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A67B99" w:rsidRPr="00155A14" w:rsidRDefault="0012393E" w:rsidP="00293983">
      <w:pPr>
        <w:widowControl/>
        <w:suppressAutoHyphens/>
        <w:spacing w:line="276" w:lineRule="auto"/>
        <w:ind w:right="-285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</w:t>
      </w:r>
      <w:bookmarkStart w:id="0" w:name="_GoBack"/>
      <w:bookmarkEnd w:id="0"/>
      <w:r w:rsidR="00862216"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Удачинского сельсовета</w:t>
      </w:r>
      <w:r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,</w:t>
      </w:r>
    </w:p>
    <w:p w:rsidR="00A67B99" w:rsidRPr="00155A14" w:rsidRDefault="00A67B99" w:rsidP="00A67B99">
      <w:pPr>
        <w:widowControl/>
        <w:suppressAutoHyphens/>
        <w:ind w:right="-285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ar-SA"/>
        </w:rPr>
        <w:t>ПОСТАНОВЛЯЮ:</w:t>
      </w:r>
    </w:p>
    <w:p w:rsidR="00A67B99" w:rsidRPr="00155A14" w:rsidRDefault="00A67B99" w:rsidP="00A67B99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158C9" w:rsidRPr="00155A14" w:rsidRDefault="00D40B2F" w:rsidP="00A158C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 xml:space="preserve">1. </w:t>
      </w:r>
      <w:r w:rsidR="00A158C9" w:rsidRPr="00155A14">
        <w:rPr>
          <w:rFonts w:ascii="Arial" w:hAnsi="Arial" w:cs="Arial"/>
        </w:rPr>
        <w:t xml:space="preserve">Утвердить прилагаемый Порядок </w:t>
      </w:r>
      <w:r w:rsidR="0012393E" w:rsidRPr="00155A14">
        <w:rPr>
          <w:rFonts w:ascii="Arial" w:hAnsi="Arial" w:cs="Arial"/>
        </w:rPr>
        <w:t xml:space="preserve">ведения реестра муниципального имущества </w:t>
      </w:r>
      <w:r w:rsidR="003D430C" w:rsidRPr="00155A14">
        <w:rPr>
          <w:rFonts w:ascii="Arial" w:hAnsi="Arial" w:cs="Arial"/>
        </w:rPr>
        <w:t>Удачинского сельсовета</w:t>
      </w:r>
      <w:r w:rsidR="00A158C9" w:rsidRPr="00155A14">
        <w:rPr>
          <w:rFonts w:ascii="Arial" w:hAnsi="Arial" w:cs="Arial"/>
        </w:rPr>
        <w:t>.</w:t>
      </w:r>
    </w:p>
    <w:p w:rsidR="007B0F32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2</w:t>
      </w:r>
      <w:r w:rsidR="007B0F32" w:rsidRPr="00155A14">
        <w:rPr>
          <w:rFonts w:ascii="Arial" w:hAnsi="Arial" w:cs="Arial"/>
        </w:rPr>
        <w:t xml:space="preserve">. Опубликовать настоящее </w:t>
      </w:r>
      <w:r w:rsidR="00812927" w:rsidRPr="00155A14">
        <w:rPr>
          <w:rFonts w:ascii="Arial" w:hAnsi="Arial" w:cs="Arial"/>
        </w:rPr>
        <w:t>постановление</w:t>
      </w:r>
      <w:r w:rsidR="007B0F32" w:rsidRPr="00155A14">
        <w:rPr>
          <w:rFonts w:ascii="Arial" w:hAnsi="Arial" w:cs="Arial"/>
        </w:rPr>
        <w:t xml:space="preserve"> в </w:t>
      </w:r>
      <w:r w:rsidR="003D430C" w:rsidRPr="00155A14">
        <w:rPr>
          <w:rFonts w:ascii="Arial" w:hAnsi="Arial" w:cs="Arial"/>
        </w:rPr>
        <w:t xml:space="preserve">газете «Вестник </w:t>
      </w:r>
      <w:proofErr w:type="spellStart"/>
      <w:r w:rsidR="003D430C" w:rsidRPr="00155A14">
        <w:rPr>
          <w:rFonts w:ascii="Arial" w:hAnsi="Arial" w:cs="Arial"/>
        </w:rPr>
        <w:t>Большеулуйского</w:t>
      </w:r>
      <w:proofErr w:type="spellEnd"/>
      <w:r w:rsidR="003D430C" w:rsidRPr="00155A14">
        <w:rPr>
          <w:rFonts w:ascii="Arial" w:hAnsi="Arial" w:cs="Arial"/>
        </w:rPr>
        <w:t xml:space="preserve"> района»</w:t>
      </w:r>
      <w:r w:rsidR="007B0F32" w:rsidRPr="00155A14">
        <w:rPr>
          <w:rFonts w:ascii="Arial" w:hAnsi="Arial" w:cs="Arial"/>
        </w:rPr>
        <w:t xml:space="preserve"> и разместить на официальном сайте</w:t>
      </w:r>
      <w:r w:rsidR="003D430C" w:rsidRPr="00155A14">
        <w:rPr>
          <w:rFonts w:ascii="Arial" w:hAnsi="Arial" w:cs="Arial"/>
        </w:rPr>
        <w:t xml:space="preserve"> </w:t>
      </w:r>
      <w:proofErr w:type="spellStart"/>
      <w:r w:rsidR="003D430C" w:rsidRPr="00155A14">
        <w:rPr>
          <w:rFonts w:ascii="Arial" w:hAnsi="Arial" w:cs="Arial"/>
        </w:rPr>
        <w:t>Большеулуйского</w:t>
      </w:r>
      <w:proofErr w:type="spellEnd"/>
      <w:r w:rsidR="003D430C" w:rsidRPr="00155A14">
        <w:rPr>
          <w:rFonts w:ascii="Arial" w:hAnsi="Arial" w:cs="Arial"/>
        </w:rPr>
        <w:t xml:space="preserve"> района</w:t>
      </w:r>
      <w:r w:rsidR="003F4204" w:rsidRPr="00155A14">
        <w:rPr>
          <w:rFonts w:ascii="Arial" w:hAnsi="Arial" w:cs="Arial"/>
        </w:rPr>
        <w:t xml:space="preserve"> в разделе </w:t>
      </w:r>
      <w:proofErr w:type="gramStart"/>
      <w:r w:rsidR="003F4204" w:rsidRPr="00155A14">
        <w:rPr>
          <w:rFonts w:ascii="Arial" w:hAnsi="Arial" w:cs="Arial"/>
        </w:rPr>
        <w:t>–</w:t>
      </w:r>
      <w:proofErr w:type="spellStart"/>
      <w:r w:rsidR="003F4204" w:rsidRPr="00155A14">
        <w:rPr>
          <w:rFonts w:ascii="Arial" w:hAnsi="Arial" w:cs="Arial"/>
        </w:rPr>
        <w:t>У</w:t>
      </w:r>
      <w:proofErr w:type="gramEnd"/>
      <w:r w:rsidR="003F4204" w:rsidRPr="00155A14">
        <w:rPr>
          <w:rFonts w:ascii="Arial" w:hAnsi="Arial" w:cs="Arial"/>
        </w:rPr>
        <w:t>дачинский</w:t>
      </w:r>
      <w:proofErr w:type="spellEnd"/>
      <w:r w:rsidR="003F4204" w:rsidRPr="00155A14">
        <w:rPr>
          <w:rFonts w:ascii="Arial" w:hAnsi="Arial" w:cs="Arial"/>
        </w:rPr>
        <w:t xml:space="preserve"> сельсовет.</w:t>
      </w:r>
      <w:r w:rsidR="006250B5" w:rsidRPr="00155A14">
        <w:rPr>
          <w:rFonts w:ascii="Arial" w:hAnsi="Arial" w:cs="Arial"/>
        </w:rPr>
        <w:t xml:space="preserve"> </w:t>
      </w:r>
    </w:p>
    <w:p w:rsidR="006250B5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3</w:t>
      </w:r>
      <w:r w:rsidR="00D40B2F" w:rsidRPr="00155A14">
        <w:rPr>
          <w:rFonts w:ascii="Arial" w:hAnsi="Arial" w:cs="Arial"/>
        </w:rPr>
        <w:t xml:space="preserve">. </w:t>
      </w:r>
      <w:r w:rsidR="006250B5" w:rsidRPr="00155A14">
        <w:rPr>
          <w:rFonts w:ascii="Arial" w:hAnsi="Arial" w:cs="Arial"/>
        </w:rPr>
        <w:t>Настоящее постановление вступает в силу со дня е</w:t>
      </w:r>
      <w:r w:rsidR="00090A65" w:rsidRPr="00155A14">
        <w:rPr>
          <w:rFonts w:ascii="Arial" w:hAnsi="Arial" w:cs="Arial"/>
        </w:rPr>
        <w:t>го опубликования</w:t>
      </w:r>
      <w:r w:rsidR="00E75222" w:rsidRPr="00155A14">
        <w:rPr>
          <w:rFonts w:ascii="Arial" w:hAnsi="Arial" w:cs="Arial"/>
        </w:rPr>
        <w:t xml:space="preserve"> в газете «Вестник </w:t>
      </w:r>
      <w:proofErr w:type="spellStart"/>
      <w:r w:rsidR="00E75222" w:rsidRPr="00155A14">
        <w:rPr>
          <w:rFonts w:ascii="Arial" w:hAnsi="Arial" w:cs="Arial"/>
        </w:rPr>
        <w:t>Большеулуйского</w:t>
      </w:r>
      <w:proofErr w:type="spellEnd"/>
      <w:r w:rsidR="00E75222" w:rsidRPr="00155A14">
        <w:rPr>
          <w:rFonts w:ascii="Arial" w:hAnsi="Arial" w:cs="Arial"/>
        </w:rPr>
        <w:t xml:space="preserve"> района»</w:t>
      </w:r>
      <w:r w:rsidR="006250B5" w:rsidRPr="00155A14">
        <w:rPr>
          <w:rFonts w:ascii="Arial" w:hAnsi="Arial" w:cs="Arial"/>
        </w:rPr>
        <w:t>.</w:t>
      </w:r>
    </w:p>
    <w:p w:rsidR="0079304D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4</w:t>
      </w:r>
      <w:r w:rsidR="006250B5" w:rsidRPr="00155A14">
        <w:rPr>
          <w:rFonts w:ascii="Arial" w:hAnsi="Arial" w:cs="Arial"/>
        </w:rPr>
        <w:t xml:space="preserve">. </w:t>
      </w:r>
      <w:proofErr w:type="gramStart"/>
      <w:r w:rsidR="006250B5" w:rsidRPr="00155A14">
        <w:rPr>
          <w:rFonts w:ascii="Arial" w:hAnsi="Arial" w:cs="Arial"/>
        </w:rPr>
        <w:t>Контроль за</w:t>
      </w:r>
      <w:proofErr w:type="gramEnd"/>
      <w:r w:rsidR="006250B5" w:rsidRPr="00155A1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250B5" w:rsidRPr="00155A14" w:rsidRDefault="006250B5" w:rsidP="00D40B2F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A7B27" w:rsidRPr="00155A14" w:rsidRDefault="00AA7B27" w:rsidP="00D40B2F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67B99" w:rsidRPr="00155A14" w:rsidRDefault="003D430C" w:rsidP="003D430C">
      <w:pPr>
        <w:widowControl/>
        <w:suppressAutoHyphens/>
        <w:spacing w:before="280" w:after="280"/>
        <w:ind w:right="-2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Глава сельсовета                                                               </w:t>
      </w:r>
      <w:r w:rsidR="00E75222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              М. В. </w:t>
      </w:r>
      <w:proofErr w:type="spellStart"/>
      <w:r w:rsidR="00E75222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Л</w:t>
      </w: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авринович</w:t>
      </w:r>
      <w:proofErr w:type="spellEnd"/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</w:t>
      </w: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P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E75222" w:rsidRPr="00155A14" w:rsidRDefault="00E75222" w:rsidP="00155A14">
      <w:pPr>
        <w:widowControl/>
        <w:suppressAutoHyphens/>
        <w:spacing w:before="280" w:after="280"/>
        <w:ind w:right="-285"/>
        <w:contextualSpacing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285977" w:rsidRPr="00155A1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lastRenderedPageBreak/>
        <w:t>Приложение</w:t>
      </w:r>
    </w:p>
    <w:p w:rsidR="00A158C9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к постановлению № </w:t>
      </w:r>
      <w:r w:rsidR="00E75222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17</w:t>
      </w:r>
      <w:r w:rsidR="00A158C9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от </w:t>
      </w:r>
      <w:r w:rsidR="00E75222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18.07</w:t>
      </w: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.2024</w:t>
      </w:r>
      <w:r w:rsidR="00A158C9" w:rsidRPr="00155A14"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  <w:t xml:space="preserve"> </w:t>
      </w:r>
      <w:r w:rsidR="00A158C9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г</w:t>
      </w:r>
      <w:r w:rsidR="00A158C9" w:rsidRPr="00155A14"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  <w:t>.</w:t>
      </w:r>
    </w:p>
    <w:p w:rsidR="00A158C9" w:rsidRPr="00155A1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285977" w:rsidRPr="00155A14" w:rsidRDefault="00285977" w:rsidP="00C84A1A">
      <w:pPr>
        <w:widowControl/>
        <w:suppressAutoHyphens/>
        <w:spacing w:before="280" w:after="280"/>
        <w:ind w:right="-2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Порядок </w:t>
      </w:r>
    </w:p>
    <w:p w:rsidR="00C84A1A" w:rsidRPr="00155A1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ведения реестра муниципального имущества </w:t>
      </w:r>
      <w:r w:rsidR="003D430C"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>Удачинского сельсовета</w:t>
      </w:r>
      <w:r w:rsidR="00A158C9"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</w:p>
    <w:p w:rsidR="00A158C9" w:rsidRPr="00155A14" w:rsidRDefault="00A158C9" w:rsidP="00A158C9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>(далее – Порядок)</w:t>
      </w:r>
    </w:p>
    <w:p w:rsidR="00A158C9" w:rsidRPr="00155A14" w:rsidRDefault="00A158C9" w:rsidP="00A158C9">
      <w:pPr>
        <w:autoSpaceDE w:val="0"/>
        <w:autoSpaceDN w:val="0"/>
        <w:adjustRightInd w:val="0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I. Общие положения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ведения </w:t>
      </w:r>
      <w:proofErr w:type="spellStart"/>
      <w:r w:rsidR="003D430C" w:rsidRPr="00155A14">
        <w:rPr>
          <w:rFonts w:ascii="Arial" w:hAnsi="Arial" w:cs="Arial"/>
          <w:sz w:val="24"/>
          <w:szCs w:val="24"/>
          <w:lang w:eastAsia="ru-RU"/>
        </w:rPr>
        <w:t>Удачинским</w:t>
      </w:r>
      <w:proofErr w:type="spellEnd"/>
      <w:r w:rsidR="003D430C" w:rsidRPr="00155A14">
        <w:rPr>
          <w:rFonts w:ascii="Arial" w:hAnsi="Arial" w:cs="Arial"/>
          <w:sz w:val="24"/>
          <w:szCs w:val="24"/>
          <w:lang w:eastAsia="ru-RU"/>
        </w:rPr>
        <w:t xml:space="preserve"> сельсоветом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(далее -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55A14">
        <w:rPr>
          <w:rFonts w:ascii="Arial" w:hAnsi="Arial" w:cs="Arial"/>
          <w:sz w:val="24"/>
          <w:szCs w:val="24"/>
          <w:lang w:eastAsia="ru-RU"/>
        </w:rPr>
        <w:t>машино-места</w:t>
      </w:r>
      <w:proofErr w:type="spellEnd"/>
      <w:r w:rsidRPr="00155A14">
        <w:rPr>
          <w:rFonts w:ascii="Arial" w:hAnsi="Arial" w:cs="Arial"/>
          <w:sz w:val="24"/>
          <w:szCs w:val="24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 w:rsidRPr="00155A14">
          <w:rPr>
            <w:rStyle w:val="a5"/>
            <w:rFonts w:ascii="Arial" w:hAnsi="Arial" w:cs="Arial"/>
            <w:sz w:val="24"/>
            <w:szCs w:val="24"/>
            <w:vertAlign w:val="superscript"/>
            <w:lang w:eastAsia="ru-RU"/>
          </w:rPr>
          <w:t>1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>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ии от 21 июля 1993 г. № 5485-1 «О государственной тайне»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к государственной тайне,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приложении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8. Реестры ведутся на бумажных и  электронных носителях.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10. Неотъемлемой частью реестра являются: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от 22 октября 2004 г. № 125-ФЗ «</w:t>
      </w:r>
      <w:r w:rsidRPr="00155A14">
        <w:rPr>
          <w:rFonts w:ascii="Arial" w:hAnsi="Arial" w:cs="Arial"/>
          <w:sz w:val="24"/>
          <w:szCs w:val="24"/>
          <w:lang w:eastAsia="ru-RU"/>
        </w:rPr>
        <w:t>Об архив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ном деле в Российской Федерации»</w:t>
      </w:r>
      <w:r w:rsidRPr="00155A14">
        <w:rPr>
          <w:rFonts w:ascii="Arial" w:hAnsi="Arial" w:cs="Arial"/>
          <w:sz w:val="24"/>
          <w:szCs w:val="24"/>
          <w:lang w:eastAsia="ru-RU"/>
        </w:rPr>
        <w:t>.</w:t>
      </w:r>
    </w:p>
    <w:p w:rsidR="002E2BDB" w:rsidRPr="00155A14" w:rsidRDefault="002E2BDB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1.1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1.2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1.3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155A14">
        <w:rPr>
          <w:rFonts w:ascii="Arial" w:hAnsi="Arial" w:cs="Arial"/>
          <w:sz w:val="24"/>
          <w:szCs w:val="24"/>
          <w:lang w:eastAsia="ru-RU"/>
        </w:rPr>
        <w:t>машино-местах</w:t>
      </w:r>
      <w:proofErr w:type="spellEnd"/>
      <w:r w:rsidRPr="00155A14">
        <w:rPr>
          <w:rFonts w:ascii="Arial" w:hAnsi="Arial" w:cs="Arial"/>
          <w:sz w:val="24"/>
          <w:szCs w:val="24"/>
          <w:lang w:eastAsia="ru-RU"/>
        </w:rPr>
        <w:t xml:space="preserve"> и иных объектах, отнесенных законом к недвижимости,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регистрационный номер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судна;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сведения о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произведенных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ремонте, модернизации судна;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2.1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2.2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2.3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2.4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E2BDB" w:rsidRPr="00155A14" w:rsidRDefault="002E2BDB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III. Порядок учета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15.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 xml:space="preserve">16.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17.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18. В случае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обязан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пунктах 15 - 18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подписи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</w:t>
      </w: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 xml:space="preserve">и (или) заявления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установлены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1" w:anchor="1223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подпунктом "в"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23.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вмуниципальное образование  (в том числе с дополнительными документами, подтверждающими недостающие в реестре сведения).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24.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12" w:anchor="1015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пунктами 15 - 23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155A14" w:rsidRDefault="00155A14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55A14" w:rsidRDefault="00155A14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IV. Предоставление информации из реестра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1"/>
      <w:bookmarkStart w:id="2" w:name="1027"/>
      <w:bookmarkEnd w:id="1"/>
      <w:bookmarkEnd w:id="2"/>
      <w:r w:rsidRPr="00155A14">
        <w:rPr>
          <w:rFonts w:ascii="Arial" w:hAnsi="Arial" w:cs="Arial"/>
          <w:sz w:val="24"/>
          <w:szCs w:val="24"/>
          <w:lang w:eastAsia="ru-RU"/>
        </w:rPr>
        <w:t xml:space="preserve">27.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3" w:anchor="1112" w:history="1">
        <w:r w:rsidRPr="00155A14">
          <w:rPr>
            <w:rStyle w:val="a5"/>
            <w:rFonts w:ascii="Arial" w:hAnsi="Arial" w:cs="Arial"/>
            <w:sz w:val="24"/>
            <w:szCs w:val="24"/>
            <w:vertAlign w:val="superscript"/>
            <w:lang w:eastAsia="ru-RU"/>
          </w:rPr>
          <w:t>2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>, а также региональных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предоставлять документы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4" w:anchor="1029" w:history="1">
        <w:r w:rsidRPr="00155A14">
          <w:rPr>
            <w:rStyle w:val="a5"/>
            <w:rFonts w:ascii="Arial" w:hAnsi="Arial" w:cs="Arial"/>
            <w:sz w:val="24"/>
            <w:szCs w:val="24"/>
            <w:lang w:eastAsia="ru-RU"/>
          </w:rPr>
          <w:t>пунктом 29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Default="00CB450A" w:rsidP="005B7586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5B7586" w:rsidRPr="00155A14" w:rsidRDefault="005B7586" w:rsidP="005B7586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Приложение к порядку</w:t>
      </w: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ВЫПИСКА №______</w:t>
      </w: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учета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          на "____"______________20___г.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______________________</w:t>
      </w:r>
      <w:r w:rsidRPr="00155A14">
        <w:rPr>
          <w:rFonts w:ascii="Arial" w:hAnsi="Arial" w:cs="Arial"/>
          <w:sz w:val="24"/>
          <w:szCs w:val="24"/>
          <w:lang w:eastAsia="ru-RU"/>
        </w:rPr>
        <w:t>_</w:t>
      </w:r>
    </w:p>
    <w:p w:rsidR="00CB450A" w:rsidRPr="00155A14" w:rsidRDefault="00CB450A" w:rsidP="00C75904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(наименование органа местного самоуправления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,у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>полномоченного на ведение реестра муниципального имущества)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Заявитель______________________________________________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</w:t>
      </w:r>
      <w:r w:rsidRPr="00155A14">
        <w:rPr>
          <w:rFonts w:ascii="Arial" w:hAnsi="Arial" w:cs="Arial"/>
          <w:sz w:val="24"/>
          <w:szCs w:val="24"/>
          <w:lang w:eastAsia="ru-RU"/>
        </w:rPr>
        <w:t>_______</w:t>
      </w:r>
    </w:p>
    <w:p w:rsidR="00CB450A" w:rsidRPr="00155A14" w:rsidRDefault="00CB450A" w:rsidP="00C75904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(наименование юридического лица, фамилия, имя, отчество (при наличии) физического лица)</w:t>
      </w:r>
    </w:p>
    <w:p w:rsidR="00C75904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1. Сведения об объекте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_______________</w:t>
      </w:r>
      <w:r w:rsidRPr="00155A14">
        <w:rPr>
          <w:rFonts w:ascii="Arial" w:hAnsi="Arial" w:cs="Arial"/>
          <w:sz w:val="24"/>
          <w:szCs w:val="24"/>
          <w:lang w:eastAsia="ru-RU"/>
        </w:rPr>
        <w:t>___________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CB450A" w:rsidRPr="00155A14" w:rsidTr="00D2077D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left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20"/>
        </w:trPr>
        <w:tc>
          <w:tcPr>
            <w:tcW w:w="2158" w:type="dxa"/>
            <w:gridSpan w:val="3"/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394"/>
        <w:gridCol w:w="142"/>
      </w:tblGrid>
      <w:tr w:rsidR="00CB450A" w:rsidRPr="00155A14" w:rsidTr="00D2077D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CB450A" w:rsidRPr="009966FE" w:rsidTr="00D2077D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CB450A" w:rsidRPr="00155A14" w:rsidTr="00D2077D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B450A" w:rsidRPr="00155A1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904" w:rsidRPr="00155A14" w:rsidRDefault="00C75904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СОДЕРЖАЩИХСЯ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В НАСТОЯЩЕЙ ВЫПИСКЕ</w:t>
      </w: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Ответственный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исполнитель:   _____________  _____________ ____________________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983D33" w:rsidRPr="00155A14" w:rsidRDefault="00983D33" w:rsidP="006250B5">
      <w:pPr>
        <w:widowControl/>
        <w:suppressAutoHyphens/>
        <w:spacing w:before="280" w:after="280"/>
        <w:ind w:right="-285"/>
        <w:contextualSpacing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</w:p>
    <w:sectPr w:rsidR="00983D33" w:rsidRPr="00155A14" w:rsidSect="004C719A"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58"/>
    <w:rsid w:val="00003F58"/>
    <w:rsid w:val="0005612C"/>
    <w:rsid w:val="00090A65"/>
    <w:rsid w:val="00094F27"/>
    <w:rsid w:val="000A44C6"/>
    <w:rsid w:val="0012393E"/>
    <w:rsid w:val="00155A14"/>
    <w:rsid w:val="00164D0C"/>
    <w:rsid w:val="00193D08"/>
    <w:rsid w:val="00235FCE"/>
    <w:rsid w:val="00275738"/>
    <w:rsid w:val="00285977"/>
    <w:rsid w:val="00293983"/>
    <w:rsid w:val="002E2BDB"/>
    <w:rsid w:val="00381193"/>
    <w:rsid w:val="003D430C"/>
    <w:rsid w:val="003F4204"/>
    <w:rsid w:val="0041551F"/>
    <w:rsid w:val="00437B20"/>
    <w:rsid w:val="00442057"/>
    <w:rsid w:val="004C719A"/>
    <w:rsid w:val="004E4D02"/>
    <w:rsid w:val="00534B8B"/>
    <w:rsid w:val="005B7586"/>
    <w:rsid w:val="006250B5"/>
    <w:rsid w:val="00625579"/>
    <w:rsid w:val="00715666"/>
    <w:rsid w:val="00716EC7"/>
    <w:rsid w:val="00757D08"/>
    <w:rsid w:val="0079304D"/>
    <w:rsid w:val="007B0F32"/>
    <w:rsid w:val="007D3CA9"/>
    <w:rsid w:val="00812927"/>
    <w:rsid w:val="00862216"/>
    <w:rsid w:val="008731C5"/>
    <w:rsid w:val="008A7CEF"/>
    <w:rsid w:val="008B3768"/>
    <w:rsid w:val="008C76C3"/>
    <w:rsid w:val="008E6BF2"/>
    <w:rsid w:val="009345B1"/>
    <w:rsid w:val="00934E74"/>
    <w:rsid w:val="00983D33"/>
    <w:rsid w:val="009966FE"/>
    <w:rsid w:val="009C7EA8"/>
    <w:rsid w:val="009F4484"/>
    <w:rsid w:val="00A158C9"/>
    <w:rsid w:val="00A24CDC"/>
    <w:rsid w:val="00A332C7"/>
    <w:rsid w:val="00A47DB4"/>
    <w:rsid w:val="00A67B99"/>
    <w:rsid w:val="00AA7B27"/>
    <w:rsid w:val="00AE5553"/>
    <w:rsid w:val="00C472F1"/>
    <w:rsid w:val="00C70D48"/>
    <w:rsid w:val="00C75904"/>
    <w:rsid w:val="00C84A1A"/>
    <w:rsid w:val="00C96D97"/>
    <w:rsid w:val="00CB450A"/>
    <w:rsid w:val="00CC23EE"/>
    <w:rsid w:val="00D16E9F"/>
    <w:rsid w:val="00D40B2F"/>
    <w:rsid w:val="00D75A11"/>
    <w:rsid w:val="00E4336B"/>
    <w:rsid w:val="00E75222"/>
    <w:rsid w:val="00E8794C"/>
    <w:rsid w:val="00E94E35"/>
    <w:rsid w:val="00E97077"/>
    <w:rsid w:val="00ED052C"/>
    <w:rsid w:val="00F4205F"/>
    <w:rsid w:val="00F70349"/>
    <w:rsid w:val="00FA1B3A"/>
    <w:rsid w:val="00FA3E76"/>
    <w:rsid w:val="00FC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BDAA-023A-4D9E-ADBC-D61BDFBA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34</cp:revision>
  <cp:lastPrinted>2024-05-03T06:13:00Z</cp:lastPrinted>
  <dcterms:created xsi:type="dcterms:W3CDTF">2019-03-01T06:58:00Z</dcterms:created>
  <dcterms:modified xsi:type="dcterms:W3CDTF">2024-07-26T03:05:00Z</dcterms:modified>
</cp:coreProperties>
</file>